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СТРУКТУРА ИЗДЕРЖЕК НА СОДЕРЖАНИЕ ОБЪЕКТОВ ТРАНСПОРТНОЙ ИНФРАСТРУКТУРЫ </w:t>
      </w:r>
      <w:r>
        <w:rPr>
          <w:rFonts w:ascii="Arial" w:hAnsi="Arial" w:cs="Arial"/>
          <w:b/>
          <w:sz w:val="24"/>
          <w:szCs w:val="24"/>
        </w:rPr>
        <w:t xml:space="preserve">ООО «</w:t>
      </w:r>
      <w:r>
        <w:rPr>
          <w:rFonts w:ascii="Arial" w:hAnsi="Arial" w:cs="Arial"/>
          <w:b/>
          <w:sz w:val="24"/>
          <w:szCs w:val="24"/>
        </w:rPr>
        <w:t xml:space="preserve">ЧУКОТАЭРОСБЫТ</w:t>
      </w:r>
      <w:r>
        <w:rPr>
          <w:rFonts w:ascii="Arial" w:hAnsi="Arial" w:cs="Arial"/>
          <w:b/>
          <w:sz w:val="24"/>
          <w:szCs w:val="24"/>
        </w:rPr>
        <w:t xml:space="preserve">»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Аэропорт "Анадырь (Угольный)" (Анадырь, Россия)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20</w:t>
      </w:r>
      <w:r>
        <w:rPr>
          <w:rFonts w:ascii="Arial" w:hAnsi="Arial" w:cs="Arial"/>
          <w:b/>
          <w:sz w:val="24"/>
          <w:szCs w:val="24"/>
        </w:rPr>
        <w:t xml:space="preserve">2</w:t>
      </w:r>
      <w:r>
        <w:rPr>
          <w:rFonts w:ascii="Arial" w:hAnsi="Arial" w:cs="Arial"/>
          <w:b/>
          <w:sz w:val="24"/>
          <w:szCs w:val="24"/>
          <w:lang w:val="en-US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году</w:t>
      </w:r>
      <w:r>
        <w:rPr>
          <w:rFonts w:ascii="Arial" w:hAnsi="Arial" w:cs="Arial"/>
          <w:b/>
          <w:sz w:val="24"/>
          <w:szCs w:val="24"/>
        </w:rPr>
      </w:r>
    </w:p>
    <w:p>
      <w:r/>
      <w:r/>
    </w:p>
    <w:tbl>
      <w:tblPr>
        <w:tblStyle w:val="622"/>
        <w:tblW w:w="0" w:type="auto"/>
        <w:tblInd w:w="657" w:type="dxa"/>
        <w:tblLook w:val="04A0" w:firstRow="1" w:lastRow="0" w:firstColumn="1" w:lastColumn="0" w:noHBand="0" w:noVBand="1"/>
      </w:tblPr>
      <w:tblGrid>
        <w:gridCol w:w="573"/>
        <w:gridCol w:w="6095"/>
        <w:gridCol w:w="1449"/>
      </w:tblGrid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№ п/п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Наименование затрат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Удельный вес, %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1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Материальные затраты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  <w:r>
              <w:rPr>
                <w:rFonts w:ascii="Arial" w:hAnsi="Arial" w:eastAsia="Calibri" w:cs="Arial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Arial" w:hAnsi="Arial" w:eastAsia="Calibri" w:cs="Arial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2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Затраты на оплату труда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34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3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Отчисления на социальные нужды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9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4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Амортизация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12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5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Прочие расходы по обычным видам деятельности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37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6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Операционные расходы, связанные с оплатой услуг, оказываемых кредитными организациями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7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Проценты к уплате по кредитам и займам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8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Налоги и иные обязательные платежи и сборы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1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9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Прочие расходы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p>
      <w:r>
        <w:rPr>
          <w:lang w:eastAsia="ru-RU"/>
        </w:rPr>
        <w:drawing>
          <wp:inline distT="0" distB="0" distL="0" distR="0">
            <wp:extent cx="6210935" cy="4094922"/>
            <wp:effectExtent l="0" t="0" r="18415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СТРУКТУРА ИЗДЕРЖЕК НА СОДЕРЖАНИЕ ОБЪЕКТОВ ТРАНСПОРТНОЙ ИНФРАСТРУКТУРЫ ООО «ЧУКОТАЭРОСБЫТ» 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Аэропорт "</w:t>
      </w:r>
      <w:r>
        <w:rPr>
          <w:rFonts w:ascii="Arial" w:hAnsi="Arial" w:cs="Arial"/>
          <w:b/>
          <w:sz w:val="24"/>
          <w:szCs w:val="24"/>
        </w:rPr>
        <w:t xml:space="preserve">Кепервеем</w:t>
      </w:r>
      <w:r>
        <w:rPr>
          <w:rFonts w:ascii="Arial" w:hAnsi="Arial" w:cs="Arial"/>
          <w:b/>
          <w:sz w:val="24"/>
          <w:szCs w:val="24"/>
        </w:rPr>
        <w:t xml:space="preserve">" (</w:t>
      </w:r>
      <w:r>
        <w:rPr>
          <w:rFonts w:ascii="Arial" w:hAnsi="Arial" w:cs="Arial"/>
          <w:b/>
          <w:sz w:val="24"/>
          <w:szCs w:val="24"/>
        </w:rPr>
        <w:t xml:space="preserve">Билибино</w:t>
      </w:r>
      <w:r>
        <w:rPr>
          <w:rFonts w:ascii="Arial" w:hAnsi="Arial" w:cs="Arial"/>
          <w:b/>
          <w:sz w:val="24"/>
          <w:szCs w:val="24"/>
        </w:rPr>
        <w:t xml:space="preserve">, Россия)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2025</w:t>
      </w:r>
      <w:r>
        <w:rPr>
          <w:rFonts w:ascii="Arial" w:hAnsi="Arial" w:cs="Arial"/>
          <w:b/>
          <w:sz w:val="24"/>
          <w:szCs w:val="24"/>
        </w:rPr>
        <w:t xml:space="preserve"> году</w:t>
      </w:r>
      <w:r>
        <w:rPr>
          <w:rFonts w:ascii="Arial" w:hAnsi="Arial" w:cs="Arial"/>
          <w:b/>
          <w:sz w:val="24"/>
          <w:szCs w:val="24"/>
        </w:rPr>
      </w:r>
    </w:p>
    <w:p>
      <w:r/>
      <w:r/>
    </w:p>
    <w:tbl>
      <w:tblPr>
        <w:tblStyle w:val="622"/>
        <w:tblW w:w="0" w:type="auto"/>
        <w:tblInd w:w="657" w:type="dxa"/>
        <w:tblLook w:val="04A0" w:firstRow="1" w:lastRow="0" w:firstColumn="1" w:lastColumn="0" w:noHBand="0" w:noVBand="1"/>
      </w:tblPr>
      <w:tblGrid>
        <w:gridCol w:w="573"/>
        <w:gridCol w:w="6095"/>
        <w:gridCol w:w="144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№ п/п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Наименование затрат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Удельный вес, %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1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Материальные затраты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3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2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Затраты на оплату труда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31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3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Отчисления на социальные нужды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8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4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Амортизация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15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5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Прочие расходы по обычным видам деятельности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42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6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Операционные расходы, связанные с оплатой услуг, оказываемых кредитными организациями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7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Проценты к уплате по кредитам и займам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8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Налоги и иные обязательные платежи и сборы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9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Прочие расходы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>
        <w:rPr>
          <w:lang w:eastAsia="ru-RU"/>
        </w:rPr>
        <w:drawing>
          <wp:inline distT="0" distB="0" distL="0" distR="0">
            <wp:extent cx="6210935" cy="3959750"/>
            <wp:effectExtent l="0" t="0" r="18415" b="3175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СТРУКТУРА ИЗДЕРЖЕК НА СОДЕРЖАНИЕ ОБЪЕКТОВ ТРАНСПОРТНОЙ ИНФРАСТРУКТУРЫ ООО «ЧУКОТАЭРОСБЫТ» 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Аэропорт "</w:t>
      </w:r>
      <w:r>
        <w:rPr>
          <w:rFonts w:ascii="Arial" w:hAnsi="Arial" w:cs="Arial"/>
          <w:b/>
          <w:sz w:val="24"/>
          <w:szCs w:val="24"/>
        </w:rPr>
        <w:t xml:space="preserve">Певек</w:t>
      </w:r>
      <w:r>
        <w:rPr>
          <w:rFonts w:ascii="Arial" w:hAnsi="Arial" w:cs="Arial"/>
          <w:b/>
          <w:sz w:val="24"/>
          <w:szCs w:val="24"/>
        </w:rPr>
        <w:t xml:space="preserve">" (Россия)</w:t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 202</w:t>
      </w:r>
      <w:r>
        <w:rPr>
          <w:rFonts w:ascii="Arial" w:hAnsi="Arial" w:cs="Arial"/>
          <w:b/>
          <w:sz w:val="24"/>
          <w:szCs w:val="24"/>
          <w:lang w:val="en-US"/>
        </w:rPr>
        <w:t xml:space="preserve">5</w:t>
      </w:r>
      <w:r>
        <w:rPr>
          <w:rFonts w:ascii="Arial" w:hAnsi="Arial" w:cs="Arial"/>
          <w:b/>
          <w:sz w:val="24"/>
          <w:szCs w:val="24"/>
        </w:rPr>
        <w:t xml:space="preserve"> году</w:t>
      </w:r>
      <w:r>
        <w:rPr>
          <w:rFonts w:ascii="Arial" w:hAnsi="Arial" w:cs="Arial"/>
          <w:b/>
          <w:sz w:val="24"/>
          <w:szCs w:val="24"/>
        </w:rPr>
      </w:r>
    </w:p>
    <w:p>
      <w:r/>
      <w:r/>
    </w:p>
    <w:tbl>
      <w:tblPr>
        <w:tblStyle w:val="622"/>
        <w:tblW w:w="0" w:type="auto"/>
        <w:tblInd w:w="657" w:type="dxa"/>
        <w:tblLook w:val="04A0" w:firstRow="1" w:lastRow="0" w:firstColumn="1" w:lastColumn="0" w:noHBand="0" w:noVBand="1"/>
      </w:tblPr>
      <w:tblGrid>
        <w:gridCol w:w="573"/>
        <w:gridCol w:w="6095"/>
        <w:gridCol w:w="1449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№ п/п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Наименование затрат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ascii="Arial" w:hAnsi="Arial" w:eastAsia="Calibri" w:cs="Arial"/>
                <w:b/>
                <w:sz w:val="24"/>
                <w:szCs w:val="24"/>
              </w:rPr>
              <w:t xml:space="preserve">Удельный вес, %</w:t>
            </w:r>
            <w:r>
              <w:rPr>
                <w:rFonts w:ascii="Arial" w:hAnsi="Arial" w:eastAsia="Calibri" w:cs="Arial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1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Материальные затраты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2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2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Затраты на оплату труда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32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3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Отчисления на социальные нужды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9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4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Амортизация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15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5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Прочие расходы по обычным видам деятельности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42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6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Операционные расходы, связанные с оплатой услуг, оказываемых кредитными организациями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7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Проценты к уплате по кредитам и займам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8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Налоги и иные обязательные платежи и сборы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9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Прочие расходы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 xml:space="preserve">0</w:t>
            </w:r>
            <w:r>
              <w:rPr>
                <w:rFonts w:ascii="Arial" w:hAnsi="Arial" w:eastAsia="Calibri" w:cs="Arial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bookmarkStart w:id="0" w:name="_GoBack"/>
      <w:r/>
      <w:bookmarkEnd w:id="0"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10935" cy="3625158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50187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210934" cy="3625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9.05pt;height:285.4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  <w:r/>
    </w:p>
    <w:p>
      <w:r/>
      <w:r/>
    </w:p>
    <w:p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49" w:bottom="1134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spacing w:after="160" w:line="259" w:lineRule="auto"/>
    </w:p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 w:customStyle="1">
    <w:name w:val="Сетка таблицы1"/>
    <w:basedOn w:val="620"/>
    <w:next w:val="62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3">
    <w:name w:val="Table Grid"/>
    <w:basedOn w:val="62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4">
    <w:name w:val="Balloon Text"/>
    <w:basedOn w:val="618"/>
    <w:link w:val="6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5" w:customStyle="1">
    <w:name w:val="Текст выноски Знак"/>
    <w:basedOn w:val="619"/>
    <w:link w:val="62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hart" Target="charts/chart1.xml" /><Relationship Id="rId9" Type="http://schemas.openxmlformats.org/officeDocument/2006/relationships/chart" Target="charts/chart2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11"/>
    </mc:Choice>
    <mc:Fallback>
      <c:style val="11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78833"/>
          <c:y val="0.278697"/>
          <c:w val="0.756218"/>
          <c:h val="0.640459"/>
        </c:manualLayout>
      </c:layout>
      <c:pie3DChart>
        <c:varyColors val="1"/>
        <c:ser>
          <c:idx val="0"/>
          <c:order val="0"/>
          <c:tx>
            <c:strRef>
              <c:f xml:space="preserve">'структура 2025_Анадырь'!$B$1:$B$2</c:f>
              <c:strCache>
                <c:ptCount val="2"/>
                <c:pt idx="1">
                  <c:v xml:space="preserve">2025 год</c:v>
                </c:pt>
              </c:strCache>
            </c:strRef>
          </c:tx>
          <c:dLbls>
            <c:dLbl>
              <c:idx val="0"/>
              <c:dLblPos val="bestFit"/>
              <c:layout>
                <c:manualLayout>
                  <c:x val="0.232740"/>
                  <c:y val="0.017332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014542"/>
                  <c:y val="0.038066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142336"/>
                  <c:y val="-0.051095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-0.127169"/>
                  <c:y val="-0.045441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4"/>
              <c:dLblPos val="bestFit"/>
              <c:layout>
                <c:manualLayout>
                  <c:x val="-0.036186"/>
                  <c:y val="0.078002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5"/>
              <c:dLblPos val="bestFit"/>
              <c:layout>
                <c:manualLayout>
                  <c:x val="-0.265752"/>
                  <c:y val="0.014477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6"/>
              <c:dLblPos val="bestFit"/>
              <c:layout>
                <c:manualLayout>
                  <c:x val="-0.083360"/>
                  <c:y val="-0.125515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7"/>
              <c:dLblPos val="bestFit"/>
              <c:layout>
                <c:manualLayout>
                  <c:x val="0.094958"/>
                  <c:y val="-0.149124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8"/>
              <c:dLblPos val="bestFit"/>
              <c:layout>
                <c:manualLayout>
                  <c:x val="0.265587"/>
                  <c:y val="-0.109480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 xml:space="preserve">'[3]структура 2022'!$A$3:$A$11</c:f>
              <c:strCache>
                <c:ptCount val="9"/>
                <c:pt idx="0">
                  <c:v xml:space="preserve">Материальные затраты</c:v>
                </c:pt>
                <c:pt idx="1">
                  <c:v xml:space="preserve">Затраты на оплату труда</c:v>
                </c:pt>
                <c:pt idx="2">
                  <c:v xml:space="preserve">Отчисления на социальные нужды</c:v>
                </c:pt>
                <c:pt idx="3">
                  <c:v>Амортизация</c:v>
                </c:pt>
                <c:pt idx="4">
                  <c:v xml:space="preserve">Прочие расходы по обычным видам деятельности</c:v>
                </c:pt>
                <c:pt idx="5">
                  <c:v xml:space="preserve">Операционные расходы, связанные с оплатой услуг, оказываемых кредитными организациями</c:v>
                </c:pt>
                <c:pt idx="6">
                  <c:v xml:space="preserve">проценты к уплате по кредитам и займам</c:v>
                </c:pt>
                <c:pt idx="7">
                  <c:v xml:space="preserve">Налоги и иные обязательные платежи и сборы</c:v>
                </c:pt>
                <c:pt idx="8">
                  <c:v xml:space="preserve">Прочие расходы </c:v>
                </c:pt>
              </c:strCache>
            </c:strRef>
          </c:cat>
          <c:val>
            <c:numRef>
              <c:f xml:space="preserve">'структура 2025_Анадырь'!$C$3:$C$11</c:f>
              <c:numCache>
                <c:formatCode>0%</c:formatCode>
                <c:ptCount val="9"/>
                <c:pt idx="0">
                  <c:v>0.07268162788955869</c:v>
                </c:pt>
                <c:pt idx="1">
                  <c:v>0.3389891247071281</c:v>
                </c:pt>
                <c:pt idx="2">
                  <c:v>0.08955833591176726</c:v>
                </c:pt>
                <c:pt idx="3">
                  <c:v>0.12230845730732569</c:v>
                </c:pt>
                <c:pt idx="4">
                  <c:v>0.36536718494183074</c:v>
                </c:pt>
                <c:pt idx="5">
                  <c:v>0.000029795225856313397</c:v>
                </c:pt>
                <c:pt idx="6">
                  <c:v>0.0034291439456862493</c:v>
                </c:pt>
                <c:pt idx="7">
                  <c:v>0.0063757900833793756</c:v>
                </c:pt>
                <c:pt idx="8">
                  <c:v>0.0012605399874675849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11"/>
    </mc:Choice>
    <mc:Fallback>
      <c:style val="11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78833"/>
          <c:y val="0.278697"/>
          <c:w val="0.756218"/>
          <c:h val="0.640459"/>
        </c:manualLayout>
      </c:layout>
      <c:pie3DChart>
        <c:varyColors val="1"/>
        <c:ser>
          <c:idx val="0"/>
          <c:order val="0"/>
          <c:tx>
            <c:strRef>
              <c:f xml:space="preserve">'структура 2025_Кепервеем'!$B$1:$B$2</c:f>
              <c:strCache>
                <c:ptCount val="2"/>
                <c:pt idx="1">
                  <c:v xml:space="preserve">2025 год</c:v>
                </c:pt>
              </c:strCache>
            </c:strRef>
          </c:tx>
          <c:dLbls>
            <c:dLbl>
              <c:idx val="0"/>
              <c:dLblPos val="bestFit"/>
              <c:layout>
                <c:manualLayout>
                  <c:x val="0.232740"/>
                  <c:y val="0.017332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1"/>
              <c:dLblPos val="bestFit"/>
              <c:layout>
                <c:manualLayout>
                  <c:x val="0.039600"/>
                  <c:y val="0.025900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2"/>
              <c:dLblPos val="bestFit"/>
              <c:layout>
                <c:manualLayout>
                  <c:x val="0.081082"/>
                  <c:y val="-0.072993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3"/>
              <c:dLblPos val="bestFit"/>
              <c:layout>
                <c:manualLayout>
                  <c:x val="-0.352480"/>
                  <c:y val="-0.065849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4"/>
              <c:dLblPos val="bestFit"/>
              <c:layout>
                <c:manualLayout>
                  <c:x val="-0.026821"/>
                  <c:y val="0.073616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  <c:spPr bwMode="auto">
                <a:prstGeom prst="rect">
                  <a:avLst/>
                </a:prstGeom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ru-RU"/>
                </a:p>
              </c:txPr>
            </c:dLbl>
            <c:dLbl>
              <c:idx val="5"/>
              <c:dLblPos val="bestFit"/>
              <c:layout>
                <c:manualLayout>
                  <c:x val="-0.222812"/>
                  <c:y val="0.024760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6"/>
              <c:dLblPos val="bestFit"/>
              <c:layout>
                <c:manualLayout>
                  <c:x val="-0.069115"/>
                  <c:y val="-0.108484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7"/>
              <c:dLblPos val="bestFit"/>
              <c:layout>
                <c:manualLayout>
                  <c:x val="0.102080"/>
                  <c:y val="-0.173455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>
              <c:idx val="8"/>
              <c:dLblPos val="bestFit"/>
              <c:layout>
                <c:manualLayout>
                  <c:x val="0.168721"/>
                  <c:y val="-0.107047"/>
                </c:manualLayout>
              </c:layout>
              <c:showBubbleSize val="0"/>
              <c:showCatName val="1"/>
              <c:showLegendKey val="0"/>
              <c:showPercent val="0"/>
              <c:showSerName val="0"/>
              <c:showVal val="1"/>
            </c:dLbl>
            <c:dLblPos val="outEnd"/>
            <c:showBubbleSize val="0"/>
            <c:showCatName val="1"/>
            <c:showLeaderLines val="1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</c:dLbls>
          <c:cat>
            <c:strRef>
              <c:f xml:space="preserve">'[3]структура 2022'!$A$3:$A$11</c:f>
              <c:strCache>
                <c:ptCount val="9"/>
                <c:pt idx="0">
                  <c:v xml:space="preserve">Материальные затраты</c:v>
                </c:pt>
                <c:pt idx="1">
                  <c:v xml:space="preserve">Затраты на оплату труда</c:v>
                </c:pt>
                <c:pt idx="2">
                  <c:v xml:space="preserve">Отчисления на социальные нужды</c:v>
                </c:pt>
                <c:pt idx="3">
                  <c:v>Амортизация</c:v>
                </c:pt>
                <c:pt idx="4">
                  <c:v xml:space="preserve">Прочие расходы по обычным видам деятельности</c:v>
                </c:pt>
                <c:pt idx="5">
                  <c:v xml:space="preserve">Операционные расходы, связанные с оплатой услуг, оказываемых кредитными организациями</c:v>
                </c:pt>
                <c:pt idx="6">
                  <c:v xml:space="preserve">проценты к уплате по кредитам и займам</c:v>
                </c:pt>
                <c:pt idx="7">
                  <c:v xml:space="preserve">Налоги и иные обязательные платежи и сборы</c:v>
                </c:pt>
                <c:pt idx="8">
                  <c:v xml:space="preserve">Прочие расходы </c:v>
                </c:pt>
              </c:strCache>
            </c:strRef>
          </c:cat>
          <c:val>
            <c:numRef>
              <c:f xml:space="preserve">'структура 2025_Кепервеем'!$C$3:$C$11</c:f>
              <c:numCache>
                <c:formatCode>0%</c:formatCode>
                <c:ptCount val="9"/>
                <c:pt idx="0">
                  <c:v>0.029485039790770294</c:v>
                </c:pt>
                <c:pt idx="1">
                  <c:v>0.3133192028302567</c:v>
                </c:pt>
                <c:pt idx="2">
                  <c:v>0.08233708227572255</c:v>
                </c:pt>
                <c:pt idx="3">
                  <c:v>0.14900273653270985</c:v>
                </c:pt>
                <c:pt idx="4">
                  <c:v>0.421639754546357</c:v>
                </c:pt>
                <c:pt idx="5">
                  <c:v>0.000024668507084060432</c:v>
                </c:pt>
                <c:pt idx="6">
                  <c:v>0.0038391079203213946</c:v>
                </c:pt>
                <c:pt idx="7">
                  <c:v>0.000554849971887291</c:v>
                </c:pt>
                <c:pt idx="8">
                  <c:v>0.000797557624890805</c:v>
                </c:pt>
              </c:numCache>
            </c:numRef>
          </c:val>
        </c:ser>
        <c:dLbls>
          <c:showBubbleSize val="0"/>
          <c:showCatName val="0"/>
          <c:showLeaderLines val="1"/>
          <c:showLegendKey val="0"/>
          <c:showPercent val="0"/>
          <c:showSerName val="0"/>
          <c:showVal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chikhireva.ip</cp:lastModifiedBy>
  <cp:revision>8</cp:revision>
  <dcterms:created xsi:type="dcterms:W3CDTF">2023-07-13T05:07:00Z</dcterms:created>
  <dcterms:modified xsi:type="dcterms:W3CDTF">2026-04-16T07:04:42Z</dcterms:modified>
</cp:coreProperties>
</file>